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5613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 администрации  по образованию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муниципального округа </w:t>
      </w:r>
    </w:p>
    <w:p w14:paraId="3CC35F2C">
      <w:pPr>
        <w:spacing w:after="0" w:line="360" w:lineRule="auto"/>
        <w:ind w:left="120"/>
        <w:jc w:val="center"/>
      </w:pPr>
      <w:bookmarkStart w:id="0" w:name="999bf644-f3de-4153-a38b-a44d917c4aaf"/>
      <w:r>
        <w:rPr>
          <w:rFonts w:ascii="Times New Roman" w:hAnsi="Times New Roman"/>
          <w:color w:val="000000"/>
          <w:sz w:val="28"/>
        </w:rPr>
        <w:t>г. Славгород Алтайского края</w:t>
      </w:r>
      <w:bookmarkEnd w:id="0"/>
    </w:p>
    <w:p w14:paraId="348EFE8C">
      <w:pPr>
        <w:spacing w:after="0" w:line="36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14:paraId="67F8DE5B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"Лицей №17"</w:t>
      </w:r>
    </w:p>
    <w:p w14:paraId="43E37960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5DD689">
      <w:pPr>
        <w:shd w:val="clear" w:color="auto" w:fill="FFFFFF"/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79A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41F1C5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1EDEC8F5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УМО начальных классов</w:t>
            </w:r>
          </w:p>
          <w:p w14:paraId="4C968FA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5C132E0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75886A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BF9157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140D8A5D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научно-методического совета</w:t>
            </w:r>
          </w:p>
          <w:p w14:paraId="4EC2CF6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4494D27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0F859C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28B744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 w14:paraId="26358A7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D2DC94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Приказом №262</w:t>
            </w:r>
          </w:p>
          <w:p w14:paraId="001499D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«30» августа   2024 г.</w:t>
            </w:r>
          </w:p>
          <w:p w14:paraId="158E31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214F1F27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7CCAFBFC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745DEBB7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26B2C35A">
      <w:pPr>
        <w:shd w:val="clear" w:color="auto" w:fill="FFFFFF"/>
        <w:tabs>
          <w:tab w:val="left" w:pos="14220"/>
        </w:tabs>
        <w:spacing w:after="0" w:line="240" w:lineRule="auto"/>
        <w:ind w:left="970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3504C57C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pacing w:val="-13"/>
          <w:position w:val="9"/>
          <w:sz w:val="24"/>
          <w:szCs w:val="24"/>
          <w:lang w:eastAsia="ru-RU"/>
        </w:rPr>
      </w:pPr>
    </w:p>
    <w:p w14:paraId="2FB45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position w:val="9"/>
          <w:sz w:val="28"/>
          <w:szCs w:val="28"/>
        </w:rPr>
      </w:pPr>
      <w:r>
        <w:rPr>
          <w:rFonts w:ascii="Times New Roman" w:hAnsi="Times New Roman" w:cs="Times New Roman"/>
          <w:spacing w:val="-13"/>
          <w:position w:val="9"/>
          <w:sz w:val="28"/>
          <w:szCs w:val="28"/>
        </w:rPr>
        <w:t>Рабочая программа</w:t>
      </w:r>
    </w:p>
    <w:p w14:paraId="037E68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position w:val="9"/>
          <w:sz w:val="28"/>
          <w:szCs w:val="28"/>
        </w:rPr>
      </w:pPr>
      <w:r>
        <w:rPr>
          <w:rFonts w:ascii="Times New Roman" w:hAnsi="Times New Roman" w:cs="Times New Roman"/>
          <w:spacing w:val="-13"/>
          <w:position w:val="9"/>
          <w:sz w:val="28"/>
          <w:szCs w:val="28"/>
        </w:rPr>
        <w:t>курса внеурочной деятельности</w:t>
      </w:r>
    </w:p>
    <w:p w14:paraId="504E2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position w:val="9"/>
          <w:sz w:val="28"/>
          <w:szCs w:val="28"/>
        </w:rPr>
      </w:pPr>
      <w:r>
        <w:rPr>
          <w:rFonts w:ascii="Times New Roman" w:hAnsi="Times New Roman" w:cs="Times New Roman"/>
          <w:spacing w:val="-13"/>
          <w:position w:val="9"/>
          <w:sz w:val="28"/>
          <w:szCs w:val="28"/>
        </w:rPr>
        <w:t xml:space="preserve">начального  </w:t>
      </w:r>
      <w:r>
        <w:rPr>
          <w:rFonts w:ascii="Times New Roman" w:hAnsi="Times New Roman" w:cs="Times New Roman"/>
          <w:spacing w:val="-12"/>
          <w:position w:val="9"/>
          <w:sz w:val="28"/>
          <w:szCs w:val="28"/>
        </w:rPr>
        <w:t>общего образования</w:t>
      </w:r>
    </w:p>
    <w:p w14:paraId="15B09C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position w:val="9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position w:val="9"/>
          <w:sz w:val="28"/>
          <w:szCs w:val="28"/>
          <w:lang w:eastAsia="ru-RU"/>
        </w:rPr>
        <w:t>«Функциональная грамотность»</w:t>
      </w:r>
    </w:p>
    <w:p w14:paraId="35A0D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position w:val="9"/>
          <w:sz w:val="28"/>
          <w:szCs w:val="28"/>
        </w:rPr>
      </w:pPr>
      <w:r>
        <w:rPr>
          <w:rFonts w:ascii="Times New Roman" w:hAnsi="Times New Roman" w:cs="Times New Roman"/>
          <w:spacing w:val="-12"/>
          <w:position w:val="9"/>
          <w:sz w:val="28"/>
          <w:szCs w:val="28"/>
        </w:rPr>
        <w:t>для учащихся 1 класса</w:t>
      </w:r>
    </w:p>
    <w:p w14:paraId="0B6EAC49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pacing w:val="-12"/>
          <w:position w:val="9"/>
          <w:sz w:val="28"/>
          <w:szCs w:val="28"/>
        </w:rPr>
      </w:pPr>
      <w:r>
        <w:rPr>
          <w:rFonts w:ascii="Times New Roman" w:hAnsi="Times New Roman" w:cs="Times New Roman"/>
          <w:spacing w:val="-12"/>
          <w:position w:val="9"/>
          <w:sz w:val="28"/>
          <w:szCs w:val="28"/>
        </w:rPr>
        <w:t>Сроки реализации: 2024-2025гг</w:t>
      </w:r>
    </w:p>
    <w:p w14:paraId="3CBE5B8A">
      <w:pPr>
        <w:shd w:val="clear" w:color="auto" w:fill="FFFFFF"/>
        <w:tabs>
          <w:tab w:val="left" w:pos="14220"/>
        </w:tabs>
        <w:spacing w:after="0" w:line="240" w:lineRule="auto"/>
        <w:ind w:left="97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FD54C47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72860672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3D7BBF6C">
      <w:pPr>
        <w:tabs>
          <w:tab w:val="left" w:pos="14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pacing w:val="-12"/>
          <w:position w:val="9"/>
          <w:sz w:val="24"/>
          <w:szCs w:val="24"/>
          <w:lang w:eastAsia="ru-RU"/>
        </w:rPr>
      </w:pPr>
    </w:p>
    <w:p w14:paraId="5E0F3597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3055C93B">
      <w:pPr>
        <w:shd w:val="clear" w:color="auto" w:fill="FFFFFF"/>
        <w:spacing w:after="0" w:line="240" w:lineRule="auto"/>
        <w:ind w:left="3845" w:right="557"/>
        <w:rPr>
          <w:rFonts w:ascii="Times New Roman" w:hAnsi="Times New Roman" w:eastAsia="Times New Roman" w:cs="Times New Roman"/>
          <w:spacing w:val="-12"/>
          <w:sz w:val="28"/>
          <w:szCs w:val="28"/>
          <w:lang w:eastAsia="ru-RU"/>
        </w:rPr>
      </w:pPr>
    </w:p>
    <w:p w14:paraId="73ACE4F8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Составители: </w:t>
      </w:r>
    </w:p>
    <w:p w14:paraId="73D7A8B7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Калинина Елена Ивановна,</w:t>
      </w:r>
    </w:p>
    <w:p w14:paraId="1EDF32F9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Горзий Галина Сергеевна,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231F26C1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учителя начальных классов </w:t>
      </w:r>
    </w:p>
    <w:p w14:paraId="4F6AA777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высшей квалификационной категории</w:t>
      </w:r>
    </w:p>
    <w:p w14:paraId="229B13E7">
      <w:pPr>
        <w:shd w:val="clear" w:color="auto" w:fill="FFFFFF"/>
        <w:tabs>
          <w:tab w:val="left" w:pos="14220"/>
        </w:tabs>
        <w:spacing w:after="0" w:line="240" w:lineRule="auto"/>
        <w:ind w:left="3845" w:right="55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C88F0C2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7200946D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54FB0A31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52E9D3B0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1F0413F8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5867472E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4F757436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bookmarkStart w:id="1" w:name="_GoBack"/>
      <w:bookmarkEnd w:id="1"/>
    </w:p>
    <w:p w14:paraId="53830DD6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28427767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Славгород</w:t>
      </w:r>
    </w:p>
    <w:p w14:paraId="6535EDA6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2024г.</w:t>
      </w:r>
    </w:p>
    <w:p w14:paraId="0E2548F5">
      <w:pPr>
        <w:shd w:val="clear" w:color="auto" w:fill="FFFFFF"/>
        <w:tabs>
          <w:tab w:val="left" w:pos="14220"/>
        </w:tabs>
        <w:spacing w:after="0" w:line="240" w:lineRule="auto"/>
        <w:ind w:right="557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</w:p>
    <w:p w14:paraId="7B1E3D01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14:paraId="0CDB597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CF4B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14:paraId="6EFF5E6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34D7D8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5D0CE0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программы: создание условий для развития функциональной грамотности. </w:t>
      </w:r>
    </w:p>
    <w:p w14:paraId="2A1E1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056A94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BFA62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81FB3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045CA90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38056FD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в  1 классе рассчитана на 33 часа и предполагает проведение 1 занятия в неделю. </w:t>
      </w:r>
    </w:p>
    <w:p w14:paraId="0F09E6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23DB7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14:paraId="41B943B1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72FC517B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5C8C28E0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Деловые беседы;</w:t>
      </w:r>
    </w:p>
    <w:p w14:paraId="697F356A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14:paraId="2A7CC468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right="450" w:hanging="7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14:paraId="2008785C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7AB7F85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4DE79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1 класс (33 ч)</w:t>
      </w:r>
    </w:p>
    <w:p w14:paraId="6277F439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993"/>
        <w:gridCol w:w="3685"/>
        <w:gridCol w:w="2093"/>
      </w:tblGrid>
      <w:tr w14:paraId="188B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551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199DB2D2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3" w:type="dxa"/>
          </w:tcPr>
          <w:p w14:paraId="255C0FE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</w:tcPr>
          <w:p w14:paraId="4CA21890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3" w:type="dxa"/>
          </w:tcPr>
          <w:p w14:paraId="216F15BC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5835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9BD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5DE17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</w:tcPr>
          <w:p w14:paraId="0B2B5E1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71A03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EA1E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DCF4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5F0B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A459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D42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EBEBC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2C1C5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2FF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F3576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98D69B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795E17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14:paraId="53377B4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5318241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6778C91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08DC96D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17251E1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40911B5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093" w:type="dxa"/>
          </w:tcPr>
          <w:p w14:paraId="581ABD4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7E5AF8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FEF1C4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CC651F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907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FF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749D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7A2B443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BD0012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4378172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BC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61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92B903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</w:tcPr>
          <w:p w14:paraId="558733D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C7B6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CF3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A12A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15132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C053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811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ACAF1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88BB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032A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88F0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A5BE96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3FCA952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712C179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78D34A0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25D53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7663454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578758B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0104A9D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093" w:type="dxa"/>
          </w:tcPr>
          <w:p w14:paraId="5FAD80A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0C2937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11DBDD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7D8E1A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41BD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E84C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1F2AD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3CBBAC5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5CD5DF2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60E231D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BC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BE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1F4E2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14:paraId="64DC64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5E966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6EAEF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27B7F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8D272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2DE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BC07E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7D839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DFB77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6F1DD8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33D65A5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70730AA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6A3A5EB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0B97059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3EEE00C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B05EEB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00465A8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093" w:type="dxa"/>
          </w:tcPr>
          <w:p w14:paraId="3E686A5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D069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2E2445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683E99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6A2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1B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E296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291213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4CB760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5158507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257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4B8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C08008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</w:tcPr>
          <w:p w14:paraId="7040104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1695A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BC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B268A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A1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2D52F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528C3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27991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13D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A872F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E5DE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D21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5C4E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823F02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3E9AC06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6FCF187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069CC49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4708313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29AB5D9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7FEDDCB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0339DC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3E880B0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093" w:type="dxa"/>
          </w:tcPr>
          <w:p w14:paraId="35C110E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F7083F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18B736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76FDF6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2B9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AF7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C795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41696E2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64C90EB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14:paraId="365890F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D3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682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E3DF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212D91D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14:paraId="7818C8D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2F641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AAFA00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50DBA55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14:paraId="021FF4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86E2C">
      <w:pPr>
        <w:spacing w:after="0"/>
        <w:ind w:right="62" w:firstLine="85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Программа обеспечивает достижение следующих личностных, метапредметных результатов.</w:t>
      </w:r>
    </w:p>
    <w:p w14:paraId="14C30E9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результаты изучения курса:</w:t>
      </w:r>
    </w:p>
    <w:p w14:paraId="3B5D075A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0CAB28AF">
      <w:pPr>
        <w:spacing w:after="13" w:line="268" w:lineRule="auto"/>
        <w:ind w:right="6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18668E8D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 осознавать личную ответственность за свои поступки;</w:t>
      </w:r>
    </w:p>
    <w:p w14:paraId="6A269F88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14:paraId="7A43B12D">
      <w:pPr>
        <w:spacing w:after="2"/>
        <w:rPr>
          <w:rFonts w:ascii="Times New Roman" w:hAnsi="Times New Roman" w:eastAsia="Times New Roman" w:cs="Times New Roman"/>
          <w:sz w:val="24"/>
          <w:szCs w:val="24"/>
          <w:u w:val="single" w:color="000000"/>
        </w:rPr>
      </w:pPr>
    </w:p>
    <w:p w14:paraId="70A71D8B">
      <w:pPr>
        <w:spacing w:after="2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результаты изучения курса:</w:t>
      </w:r>
    </w:p>
    <w:p w14:paraId="257D5402">
      <w:pPr>
        <w:spacing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>Познавательные:</w:t>
      </w:r>
    </w:p>
    <w:p w14:paraId="08E8B2A9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1F7FD292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7031A656">
      <w:pPr>
        <w:spacing w:after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овладевать логическими действиями сравнения, обобщения,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4"/>
          <w:szCs w:val="24"/>
        </w:rPr>
        <w:t xml:space="preserve">причинно-следственных </w:t>
      </w:r>
      <w:r>
        <w:rPr>
          <w:rFonts w:ascii="Times New Roman" w:hAnsi="Times New Roman" w:eastAsia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0A12FA47">
      <w:pPr>
        <w:spacing w:after="0"/>
        <w:ind w:right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14:paraId="00808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52FEA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предварительный отбор источников информации: ориентироваться в потоке информации; </w:t>
      </w:r>
    </w:p>
    <w:p w14:paraId="34E76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3822E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14:paraId="14AE83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6057464F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3B7FB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5699C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цель и задачу, планировать ее реализацию, в том числе во внутреннем плане;</w:t>
      </w:r>
    </w:p>
    <w:p w14:paraId="592D08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0691B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4295" cy="74295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1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36920C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101B8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1BE0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19EEC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6F7CF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305" cy="11430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8A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311CCD7E">
      <w:pPr>
        <w:spacing w:after="0"/>
        <w:ind w:right="12"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3A586">
      <w:pPr>
        <w:spacing w:after="0"/>
        <w:ind w:right="12"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</w:p>
    <w:p w14:paraId="114A1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5CE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необходимую информацию в прочитанных текстах;</w:t>
      </w:r>
    </w:p>
    <w:p w14:paraId="0F291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умение задавать вопросы по содержанию прочитанных текстов; </w:t>
      </w:r>
    </w:p>
    <w:p w14:paraId="7292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42CB57A2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61D4E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«Естественно-научная грамотность»</w:t>
      </w:r>
    </w:p>
    <w:p w14:paraId="66149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28A9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30F4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C4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2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</w:p>
    <w:p w14:paraId="302BA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CBF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14:paraId="47C85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14:paraId="5EC7F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2F51A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3C914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5ABF6">
      <w:pPr>
        <w:spacing w:after="0"/>
        <w:ind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14:paraId="104B82E9">
      <w:pPr>
        <w:spacing w:after="0"/>
        <w:ind w:firstLine="19"/>
        <w:jc w:val="center"/>
        <w:rPr>
          <w:rFonts w:ascii="Times New Roman" w:hAnsi="Times New Roman" w:cs="Times New Roman"/>
          <w:sz w:val="24"/>
          <w:szCs w:val="24"/>
        </w:rPr>
      </w:pPr>
    </w:p>
    <w:p w14:paraId="1F34D2FD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14:paraId="66DFAE0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1FA20C8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11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2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14:paraId="11BB42A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различных видах семейных доходов;</w:t>
      </w:r>
    </w:p>
    <w:p w14:paraId="040694EC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14:paraId="4D14A8C7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способах экономии семейного бюджета.</w:t>
      </w:r>
    </w:p>
    <w:p w14:paraId="06BDA15B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14:paraId="2C17000E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p w14:paraId="58E6FE5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477"/>
        <w:gridCol w:w="960"/>
        <w:gridCol w:w="1035"/>
        <w:gridCol w:w="1189"/>
        <w:gridCol w:w="1091"/>
        <w:gridCol w:w="937"/>
        <w:gridCol w:w="1213"/>
      </w:tblGrid>
      <w:tr w14:paraId="005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restart"/>
          </w:tcPr>
          <w:p w14:paraId="482B4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7" w:type="dxa"/>
            <w:vMerge w:val="restart"/>
          </w:tcPr>
          <w:p w14:paraId="2F72A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60" w:type="dxa"/>
            <w:vMerge w:val="restart"/>
          </w:tcPr>
          <w:p w14:paraId="06A61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24" w:type="dxa"/>
            <w:gridSpan w:val="2"/>
          </w:tcPr>
          <w:p w14:paraId="5BB08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28" w:type="dxa"/>
            <w:gridSpan w:val="2"/>
          </w:tcPr>
          <w:p w14:paraId="6C3B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13" w:type="dxa"/>
            <w:vMerge w:val="restart"/>
          </w:tcPr>
          <w:p w14:paraId="2D3BE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14:paraId="4769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Merge w:val="continue"/>
          </w:tcPr>
          <w:p w14:paraId="727C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continue"/>
          </w:tcPr>
          <w:p w14:paraId="1ED4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</w:tcPr>
          <w:p w14:paraId="73246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DCE9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26F2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91" w:type="dxa"/>
          </w:tcPr>
          <w:p w14:paraId="118B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937" w:type="dxa"/>
          </w:tcPr>
          <w:p w14:paraId="13D97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13" w:type="dxa"/>
            <w:vMerge w:val="continue"/>
          </w:tcPr>
          <w:p w14:paraId="5DBAC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AC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44BF4E6E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08197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60" w:type="dxa"/>
          </w:tcPr>
          <w:p w14:paraId="77A0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86CD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609E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51898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9CAC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25FB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7B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3E57C25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A8FB62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Мороз и заяц. </w:t>
            </w:r>
          </w:p>
        </w:tc>
        <w:tc>
          <w:tcPr>
            <w:tcW w:w="960" w:type="dxa"/>
          </w:tcPr>
          <w:p w14:paraId="08D3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C6F3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DFE9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3AFB2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3089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AB8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A4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032ED2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8DA5D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60" w:type="dxa"/>
          </w:tcPr>
          <w:p w14:paraId="5A4B8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CC6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D7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7AA59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180A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1DBE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D9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76DBA65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FFB413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60" w:type="dxa"/>
          </w:tcPr>
          <w:p w14:paraId="1CF6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1302B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996C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3D97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170B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DF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C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77B8F0DF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1C4482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960" w:type="dxa"/>
          </w:tcPr>
          <w:p w14:paraId="2ECB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13ABF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36F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262B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AA32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6946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FA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3EF7CEC0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734826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Лев и заяц.. </w:t>
            </w:r>
          </w:p>
        </w:tc>
        <w:tc>
          <w:tcPr>
            <w:tcW w:w="960" w:type="dxa"/>
          </w:tcPr>
          <w:p w14:paraId="17C5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60B3F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0FF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4439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6B4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5DA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A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7BFEE59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C27F44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60" w:type="dxa"/>
          </w:tcPr>
          <w:p w14:paraId="1DAC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25523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BB39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E6F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692C9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E9A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BC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2EF5BDCF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CBBA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60" w:type="dxa"/>
          </w:tcPr>
          <w:p w14:paraId="30D86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27D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7B3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222DD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996D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50CF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7D0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A84A57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03EF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960" w:type="dxa"/>
          </w:tcPr>
          <w:p w14:paraId="10F7A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3B98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D08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3E98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F98E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790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5C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56DAD65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29A69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60" w:type="dxa"/>
          </w:tcPr>
          <w:p w14:paraId="05E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65ABA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1C1F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7B31A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43FA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37CB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0A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06C86A5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07CE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60" w:type="dxa"/>
          </w:tcPr>
          <w:p w14:paraId="7C28C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34308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7E48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76DDA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7CD8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754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2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556A527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D314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60" w:type="dxa"/>
          </w:tcPr>
          <w:p w14:paraId="70D4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2DC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3CF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56A1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DA6E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A3EB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58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1E82C12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F3D3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60" w:type="dxa"/>
          </w:tcPr>
          <w:p w14:paraId="79229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3CFDE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81F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04B40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60DF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F84C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A3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1B46055F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6F0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60" w:type="dxa"/>
          </w:tcPr>
          <w:p w14:paraId="0816C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30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C6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45C9E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1C8A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A44F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31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0DC00ECC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1824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960" w:type="dxa"/>
          </w:tcPr>
          <w:p w14:paraId="4D34D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6938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5A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0C1AB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41D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072F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74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121FC734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7F401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60" w:type="dxa"/>
          </w:tcPr>
          <w:p w14:paraId="7D20F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1620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A99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7B39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B66D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5C6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4D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5E10AF6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D59F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60" w:type="dxa"/>
          </w:tcPr>
          <w:p w14:paraId="2F7E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1678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93F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3C4D3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C218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ABDA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97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21AB07ED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C56E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60" w:type="dxa"/>
          </w:tcPr>
          <w:p w14:paraId="5A9F9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B213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38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3AC7B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DF3B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C23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B7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3C5DC18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C99F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60" w:type="dxa"/>
          </w:tcPr>
          <w:p w14:paraId="30489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1CBB8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04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24D6B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EA8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2C25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D6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29E91B57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56D5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60" w:type="dxa"/>
          </w:tcPr>
          <w:p w14:paraId="081E8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AA0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7F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98C2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05F8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E42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F2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3F66E0D8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3F30C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60" w:type="dxa"/>
          </w:tcPr>
          <w:p w14:paraId="40BAF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39C2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405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E736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E5D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D86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11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53F9527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36C9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60" w:type="dxa"/>
          </w:tcPr>
          <w:p w14:paraId="340CF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398F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84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27CAC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DEA4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D06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EC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40F215C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D0E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960" w:type="dxa"/>
          </w:tcPr>
          <w:p w14:paraId="23342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0CEE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529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5A808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4F3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C269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7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BA58A41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4E3A8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60" w:type="dxa"/>
          </w:tcPr>
          <w:p w14:paraId="78099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B927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DAF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5F39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7BEB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EB81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A7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1D6269CB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7619F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960" w:type="dxa"/>
          </w:tcPr>
          <w:p w14:paraId="5D7A2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2CB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71E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E30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87AE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E630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C7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74120BF2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C8A9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60" w:type="dxa"/>
          </w:tcPr>
          <w:p w14:paraId="1A28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273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2AA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34D8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235A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10A2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6C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6A1CECBA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933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60" w:type="dxa"/>
          </w:tcPr>
          <w:p w14:paraId="094DE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60447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A38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1AF8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1A08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97B4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7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35BB72DB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5D26E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60" w:type="dxa"/>
          </w:tcPr>
          <w:p w14:paraId="298E0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A0B9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2D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25278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4345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74D1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2D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4022C424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EF7D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60" w:type="dxa"/>
          </w:tcPr>
          <w:p w14:paraId="7B1F7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4F04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03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021FB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206E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4301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55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000290C6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4E21C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60" w:type="dxa"/>
          </w:tcPr>
          <w:p w14:paraId="4518B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428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1E8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77EDC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C19C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32C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CB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7DD22DD5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C6AA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60" w:type="dxa"/>
          </w:tcPr>
          <w:p w14:paraId="424C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55F8C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5379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19D9A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ECD3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43A1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FF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4633703E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D76D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960" w:type="dxa"/>
          </w:tcPr>
          <w:p w14:paraId="2ACE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26EC9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7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23C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8FE0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26CF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2D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14102E16">
            <w:pPr>
              <w:pStyle w:val="1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14:paraId="18FE9F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960" w:type="dxa"/>
          </w:tcPr>
          <w:p w14:paraId="4DFA7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7B5E4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17F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1" w:type="dxa"/>
          </w:tcPr>
          <w:p w14:paraId="66BAF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79E3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14C8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C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 w14:paraId="07E1A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41393605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0" w:type="dxa"/>
          </w:tcPr>
          <w:p w14:paraId="31C83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5" w:type="dxa"/>
          </w:tcPr>
          <w:p w14:paraId="098E4B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41D2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14:paraId="2093C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14:paraId="1BBC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FEE2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53DB83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80DB2A0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ЦОР</w:t>
      </w:r>
    </w:p>
    <w:p w14:paraId="1ECCAFA0">
      <w:pPr>
        <w:pStyle w:val="17"/>
        <w:numPr>
          <w:ilvl w:val="0"/>
          <w:numId w:val="3"/>
        </w:numPr>
        <w:spacing w:after="0"/>
        <w:ind w:right="52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(РЭШ, </w:t>
      </w:r>
      <w:r>
        <w:fldChar w:fldCharType="begin"/>
      </w:r>
      <w:r>
        <w:instrText xml:space="preserve"> HYPERLINK "https://fg.resh.edu.ru/"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https://fg.resh.edu.ru/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),</w:t>
      </w:r>
    </w:p>
    <w:p w14:paraId="695386AE">
      <w:pPr>
        <w:pStyle w:val="17"/>
        <w:numPr>
          <w:ilvl w:val="0"/>
          <w:numId w:val="3"/>
        </w:numPr>
        <w:spacing w:after="0"/>
        <w:ind w:right="52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Портал ФГБНУ ИСРО РАО (</w:t>
      </w:r>
      <w:r>
        <w:fldChar w:fldCharType="begin"/>
      </w:r>
      <w:r>
        <w:instrText xml:space="preserve"> HYPERLINK "http://skiv.instrao.ru/"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http://skiv.instrao.ru/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),</w:t>
      </w:r>
    </w:p>
    <w:p w14:paraId="78C5AA97">
      <w:pPr>
        <w:pStyle w:val="17"/>
        <w:numPr>
          <w:ilvl w:val="0"/>
          <w:numId w:val="3"/>
        </w:numPr>
        <w:spacing w:after="0"/>
        <w:ind w:right="52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электронный образовательный ресурс  издательства «Просвещение» (</w:t>
      </w:r>
      <w:r>
        <w:fldChar w:fldCharType="begin"/>
      </w:r>
      <w:r>
        <w:instrText xml:space="preserve"> HYPERLINK "https://media.prosv.ru/func/" 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t>https://media.prosv.ru/func/</w:t>
      </w:r>
      <w:r>
        <w:rPr>
          <w:rStyle w:val="7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692AA9A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0228E6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7B9C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F66C16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4F20A79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E090209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1BFC614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B23E5">
      <w:pPr>
        <w:keepNext/>
        <w:spacing w:before="240" w:after="60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 xml:space="preserve"> Лист внесения изменений</w:t>
      </w:r>
    </w:p>
    <w:p w14:paraId="738D85B6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492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8"/>
        <w:gridCol w:w="1706"/>
        <w:gridCol w:w="1919"/>
        <w:gridCol w:w="3342"/>
        <w:gridCol w:w="1592"/>
      </w:tblGrid>
      <w:tr w14:paraId="0D28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BE496A1">
            <w:pPr>
              <w:pStyle w:val="19"/>
              <w:spacing w:before="133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B509E1">
            <w:pPr>
              <w:pStyle w:val="19"/>
              <w:spacing w:line="276" w:lineRule="exact"/>
              <w:ind w:left="108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B0D7E3">
            <w:pPr>
              <w:pStyle w:val="19"/>
              <w:ind w:left="10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связи </w:t>
            </w:r>
          </w:p>
          <w:p w14:paraId="59A7F5DA">
            <w:pPr>
              <w:pStyle w:val="19"/>
              <w:ind w:left="10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С изменениями</w:t>
            </w: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5C15A5">
            <w:pPr>
              <w:pStyle w:val="19"/>
              <w:spacing w:before="8"/>
              <w:ind w:left="0"/>
              <w:rPr>
                <w:b/>
                <w:sz w:val="23"/>
              </w:rPr>
            </w:pPr>
          </w:p>
          <w:p w14:paraId="2BA52CE4">
            <w:pPr>
              <w:pStyle w:val="19"/>
              <w:ind w:left="847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2D80C1D">
            <w:pPr>
              <w:pStyle w:val="19"/>
              <w:spacing w:before="1" w:line="235" w:lineRule="auto"/>
              <w:ind w:left="109" w:right="120"/>
              <w:rPr>
                <w:sz w:val="24"/>
              </w:rPr>
            </w:pPr>
            <w:r>
              <w:rPr>
                <w:b/>
                <w:sz w:val="24"/>
              </w:rPr>
              <w:t>Основание для внесения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изменений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(причина,</w:t>
            </w:r>
          </w:p>
          <w:p w14:paraId="60A6DEE7">
            <w:pPr>
              <w:pStyle w:val="19"/>
              <w:spacing w:before="2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</w:tr>
      <w:tr w14:paraId="50A10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154E46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AA9FD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1F780F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CA96A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2C7218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33D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E9E8C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B4FF5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519B0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7C2C0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EDFD2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63FA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1987D6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371F8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6F645C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10851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ECAC0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B472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13E34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9D8C3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E0BDC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FA9CD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1AAE7F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43FE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C6C676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50EF7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6770A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D814E6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C85E0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32A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723366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4B17B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AACD2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5336F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3DA10C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0FE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A4FC0C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2D300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FD45F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BAB2D5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60EC4F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5D49B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56BD3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56550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82E6F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CA759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FE211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4B93C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39741F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72FA1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A4F96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78A54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20AE42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A55C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69D77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DB1F5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50FF6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E4314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FEA439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E3C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F77041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392F4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026D4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47413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D61B02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B2DE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C63CA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2B8609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FE007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B2F73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D9C21B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942B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17FFB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20D40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72A02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614146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A8FAB8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E43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BAC21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AC454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0721D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44442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BD8FC2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3EB9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1E37F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81047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2A0F2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4C2DD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0BC01D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2FCD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D5849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73DA7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3A12F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F5D3B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0A8F8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2FF2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7B948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B3E09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15CE3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CE3D2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403B43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45D4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DC2E43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E9E9F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E5672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534E0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FB3A88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8CC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7F224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F1404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C61E43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D4FF2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F0579D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FC9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41FDC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BF190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9A3DA6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B4048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98EF4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615E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F5A6A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8481A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7FD09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7FC926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D03EC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44D4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6538C2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398DD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BDA3A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B7B08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150FE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A929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03C0E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155480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5EB4D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3EB90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2B560A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194A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3ECF2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54AEF7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5FE47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D18B9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56FD43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75964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1A223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2A38A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FC57D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228AD2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5EE443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0D6D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E1F93D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9BC85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71F56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CEDE34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8EFFE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  <w:tr w14:paraId="384FE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FD105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E16C9F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08538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198EF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58BAEFD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8"/>
                <w:szCs w:val="28"/>
                <w:lang w:eastAsia="ko-KR"/>
              </w:rPr>
            </w:pPr>
          </w:p>
        </w:tc>
      </w:tr>
    </w:tbl>
    <w:p w14:paraId="6A1F991B">
      <w:pPr>
        <w:keepNext/>
        <w:spacing w:before="240" w:after="60"/>
        <w:rPr>
          <w:rFonts w:ascii="Times New Roman" w:hAnsi="Times New Roman" w:eastAsia="Times New Roman" w:cs="Arial"/>
          <w:b/>
          <w:bCs/>
          <w:iCs/>
          <w:sz w:val="24"/>
          <w:szCs w:val="24"/>
          <w:lang w:eastAsia="ru-RU"/>
        </w:rPr>
      </w:pPr>
    </w:p>
    <w:p w14:paraId="6C9C5A60">
      <w:pPr>
        <w:keepNext/>
        <w:spacing w:before="240" w:after="60"/>
        <w:jc w:val="center"/>
        <w:rPr>
          <w:rFonts w:ascii="Times New Roman" w:hAnsi="Times New Roman" w:eastAsia="Times New Roman" w:cs="Arial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b/>
          <w:bCs/>
          <w:iCs/>
          <w:sz w:val="24"/>
          <w:szCs w:val="24"/>
          <w:lang w:eastAsia="ru-RU"/>
        </w:rPr>
        <w:t>Раздел 3. Контроль выполнения программы</w:t>
      </w:r>
    </w:p>
    <w:p w14:paraId="1DE680C3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1"/>
        <w:gridCol w:w="1870"/>
        <w:gridCol w:w="2432"/>
        <w:gridCol w:w="2271"/>
      </w:tblGrid>
      <w:tr w14:paraId="66B5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CDB33E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DE8EF9D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«Функциональная грамотность»</w:t>
            </w:r>
          </w:p>
        </w:tc>
      </w:tr>
      <w:tr w14:paraId="4D80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C6A9E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576F910A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62E3C9E4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B9FB367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5BE49BFC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  <w:p w14:paraId="553C805F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5DC48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7326C9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82672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CDA0C9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2C0F0AC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546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53ADBA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948D00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5DCEE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9CA09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7FC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701980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E3772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7B9024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73359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5FB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29A4C7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3ACD1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521655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DCDE75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C4FB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07F233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6E300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97187B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D82AD9B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B2BE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544F29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1AFA7302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867F29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558CF623">
            <w:pPr>
              <w:spacing w:after="0" w:line="240" w:lineRule="auto"/>
              <w:jc w:val="center"/>
              <w:rPr>
                <w:rFonts w:ascii="Times New Roman" w:hAnsi="Times New Roman" w:eastAsia="Batang;바탕" w:cs="Times New Roman"/>
                <w:b/>
                <w:sz w:val="21"/>
                <w:szCs w:val="21"/>
                <w:lang w:eastAsia="ko-KR"/>
              </w:rPr>
            </w:pPr>
          </w:p>
        </w:tc>
      </w:tr>
      <w:tr w14:paraId="1E85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941CD4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49867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0BAB6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8520906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7444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13379D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2404C9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90BDF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5A596A8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574E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A2CBAC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572A3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F36ED2F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6396D4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7F97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6DA39A8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324C2A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D8C4AE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ED40444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9BD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2EB76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40ADD1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591613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5625C8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C2B0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D01647D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69994F68">
            <w:pPr>
              <w:spacing w:after="0" w:line="240" w:lineRule="auto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1FA3AE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6FAD0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5BD5F3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6873ACE">
            <w:pPr>
              <w:snapToGrid w:val="0"/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38257176">
            <w:pPr>
              <w:spacing w:after="0" w:line="240" w:lineRule="auto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199FA2A1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03FAD3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;바탕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3253465"/>
      <w:docPartObj>
        <w:docPartGallery w:val="AutoText"/>
      </w:docPartObj>
    </w:sdtPr>
    <w:sdtContent>
      <w:p w14:paraId="5A9DE785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873E21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83FD0"/>
    <w:multiLevelType w:val="multilevel"/>
    <w:tmpl w:val="08683F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B15"/>
    <w:multiLevelType w:val="multilevel"/>
    <w:tmpl w:val="46A27B15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5D334223"/>
    <w:multiLevelType w:val="multilevel"/>
    <w:tmpl w:val="5D33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84255"/>
    <w:rsid w:val="0009376D"/>
    <w:rsid w:val="000A4C2F"/>
    <w:rsid w:val="000D3998"/>
    <w:rsid w:val="00116482"/>
    <w:rsid w:val="00197806"/>
    <w:rsid w:val="001F5FD8"/>
    <w:rsid w:val="00227100"/>
    <w:rsid w:val="00237290"/>
    <w:rsid w:val="002C145E"/>
    <w:rsid w:val="002F149D"/>
    <w:rsid w:val="00366D12"/>
    <w:rsid w:val="003805B3"/>
    <w:rsid w:val="003866A6"/>
    <w:rsid w:val="00425612"/>
    <w:rsid w:val="004426DD"/>
    <w:rsid w:val="00455A6D"/>
    <w:rsid w:val="00462DA2"/>
    <w:rsid w:val="00474595"/>
    <w:rsid w:val="004C0F39"/>
    <w:rsid w:val="005668D3"/>
    <w:rsid w:val="005C5ECF"/>
    <w:rsid w:val="005E0753"/>
    <w:rsid w:val="006723BB"/>
    <w:rsid w:val="00672C02"/>
    <w:rsid w:val="00745754"/>
    <w:rsid w:val="00762A03"/>
    <w:rsid w:val="00770A12"/>
    <w:rsid w:val="00781202"/>
    <w:rsid w:val="00807516"/>
    <w:rsid w:val="008311F0"/>
    <w:rsid w:val="008350DD"/>
    <w:rsid w:val="008D4911"/>
    <w:rsid w:val="00917113"/>
    <w:rsid w:val="00963622"/>
    <w:rsid w:val="00A46CF4"/>
    <w:rsid w:val="00A47A55"/>
    <w:rsid w:val="00A67385"/>
    <w:rsid w:val="00AF2FE6"/>
    <w:rsid w:val="00AF683D"/>
    <w:rsid w:val="00B32118"/>
    <w:rsid w:val="00B82E52"/>
    <w:rsid w:val="00B91305"/>
    <w:rsid w:val="00BE3B16"/>
    <w:rsid w:val="00BE646C"/>
    <w:rsid w:val="00C0152F"/>
    <w:rsid w:val="00C168F1"/>
    <w:rsid w:val="00C70208"/>
    <w:rsid w:val="00CC5348"/>
    <w:rsid w:val="00CF6B97"/>
    <w:rsid w:val="00D24F01"/>
    <w:rsid w:val="00D64BBC"/>
    <w:rsid w:val="00F137FD"/>
    <w:rsid w:val="00FB53B0"/>
    <w:rsid w:val="5BD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Верхний колонтитул Знак"/>
    <w:basedOn w:val="4"/>
    <w:link w:val="9"/>
    <w:qFormat/>
    <w:uiPriority w:val="99"/>
  </w:style>
  <w:style w:type="character" w:customStyle="1" w:styleId="14">
    <w:name w:val="Нижний колонтитул Знак"/>
    <w:basedOn w:val="4"/>
    <w:link w:val="10"/>
    <w:qFormat/>
    <w:uiPriority w:val="99"/>
  </w:style>
  <w:style w:type="character" w:customStyle="1" w:styleId="15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6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1566-2EB5-4BE9-A54A-A5D47C0FD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1915</Words>
  <Characters>10918</Characters>
  <Lines>90</Lines>
  <Paragraphs>25</Paragraphs>
  <TotalTime>1</TotalTime>
  <ScaleCrop>false</ScaleCrop>
  <LinksUpToDate>false</LinksUpToDate>
  <CharactersWithSpaces>12808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2022-08-27T08:39:00Z</dcterms:created>
  <dc:creator>Liliy</dc:creator>
  <cp:lastModifiedBy>User</cp:lastModifiedBy>
  <dcterms:modified xsi:type="dcterms:W3CDTF">2024-11-19T14:34:29Z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1BC202B996224D808D80F26A63AE6FF0_12</vt:lpwstr>
  </property>
</Properties>
</file>